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5D73CA" w:rsidRPr="0012131F" w14:paraId="52001EAA" w14:textId="77777777" w:rsidTr="00782E57">
        <w:tc>
          <w:tcPr>
            <w:tcW w:w="3256" w:type="dxa"/>
            <w:shd w:val="clear" w:color="auto" w:fill="F2F2F2" w:themeFill="background1" w:themeFillShade="F2"/>
          </w:tcPr>
          <w:p w14:paraId="0ED5FFB7" w14:textId="77777777" w:rsidR="005D73CA" w:rsidRPr="0012131F" w:rsidRDefault="005D73CA" w:rsidP="00782E5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Görev Unvanı</w:t>
            </w:r>
          </w:p>
        </w:tc>
        <w:tc>
          <w:tcPr>
            <w:tcW w:w="6378" w:type="dxa"/>
          </w:tcPr>
          <w:p w14:paraId="42BFC547" w14:textId="223EF99F" w:rsidR="005D73CA" w:rsidRPr="0012131F" w:rsidRDefault="005D73CA" w:rsidP="00782E57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Bölüm </w:t>
            </w:r>
            <w:r w:rsidR="006A572E">
              <w:rPr>
                <w:rFonts w:ascii="Cambria" w:hAnsi="Cambria"/>
              </w:rPr>
              <w:t>İntibak</w:t>
            </w:r>
            <w:r w:rsidR="006C6098">
              <w:rPr>
                <w:rFonts w:ascii="Cambria" w:hAnsi="Cambria"/>
              </w:rPr>
              <w:t xml:space="preserve"> Komisyonu</w:t>
            </w:r>
          </w:p>
        </w:tc>
      </w:tr>
      <w:tr w:rsidR="005D73CA" w:rsidRPr="0012131F" w14:paraId="64ED2027" w14:textId="77777777" w:rsidTr="00782E57">
        <w:tc>
          <w:tcPr>
            <w:tcW w:w="3256" w:type="dxa"/>
            <w:shd w:val="clear" w:color="auto" w:fill="F2F2F2" w:themeFill="background1" w:themeFillShade="F2"/>
          </w:tcPr>
          <w:p w14:paraId="69A552D8" w14:textId="499F9D92" w:rsidR="005D73CA" w:rsidRPr="0012131F" w:rsidRDefault="005D73CA" w:rsidP="00782E5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Makam/Görev</w:t>
            </w:r>
          </w:p>
        </w:tc>
        <w:tc>
          <w:tcPr>
            <w:tcW w:w="6378" w:type="dxa"/>
          </w:tcPr>
          <w:p w14:paraId="066828AD" w14:textId="202C6E8C" w:rsidR="005D73CA" w:rsidRPr="0012131F" w:rsidRDefault="007060A4" w:rsidP="00782E5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Bölüm Başkanı</w:t>
            </w:r>
          </w:p>
        </w:tc>
      </w:tr>
      <w:tr w:rsidR="005D73CA" w:rsidRPr="0012131F" w14:paraId="4F3AB71E" w14:textId="77777777" w:rsidTr="00782E57">
        <w:tc>
          <w:tcPr>
            <w:tcW w:w="3256" w:type="dxa"/>
            <w:shd w:val="clear" w:color="auto" w:fill="F2F2F2" w:themeFill="background1" w:themeFillShade="F2"/>
          </w:tcPr>
          <w:p w14:paraId="77F777EB" w14:textId="77777777" w:rsidR="005D73CA" w:rsidRPr="0012131F" w:rsidRDefault="005D73CA" w:rsidP="00782E5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Yokluğunda Vekâlet Edecek</w:t>
            </w:r>
          </w:p>
        </w:tc>
        <w:tc>
          <w:tcPr>
            <w:tcW w:w="6378" w:type="dxa"/>
          </w:tcPr>
          <w:p w14:paraId="6BC066F5" w14:textId="69807CB5" w:rsidR="005D73CA" w:rsidRPr="0012131F" w:rsidRDefault="00D42C3C" w:rsidP="00782E57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--</w:t>
            </w:r>
          </w:p>
        </w:tc>
      </w:tr>
    </w:tbl>
    <w:p w14:paraId="1A8FEC51" w14:textId="77777777" w:rsidR="005D73CA" w:rsidRPr="0012131F" w:rsidRDefault="005D73CA" w:rsidP="005D73CA">
      <w:pPr>
        <w:pStyle w:val="AralkYok"/>
        <w:jc w:val="both"/>
        <w:rPr>
          <w:rFonts w:ascii="Cambria" w:hAnsi="Cambria"/>
          <w:lang w:eastAsia="tr-TR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010AA3" w:rsidRPr="0012131F" w14:paraId="1F950E04" w14:textId="77777777" w:rsidTr="00010AA3">
        <w:tc>
          <w:tcPr>
            <w:tcW w:w="9634" w:type="dxa"/>
          </w:tcPr>
          <w:p w14:paraId="4BAF4FCB" w14:textId="77777777" w:rsidR="00010AA3" w:rsidRPr="0012131F" w:rsidRDefault="00010AA3" w:rsidP="00436FD4">
            <w:pPr>
              <w:pStyle w:val="AralkYok"/>
              <w:jc w:val="center"/>
              <w:rPr>
                <w:rFonts w:ascii="Cambria" w:hAnsi="Cambria"/>
                <w:b/>
                <w:color w:val="002060"/>
                <w:lang w:eastAsia="tr-TR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010AA3" w:rsidRPr="0012131F" w14:paraId="712EE085" w14:textId="77777777" w:rsidTr="00010AA3">
        <w:tc>
          <w:tcPr>
            <w:tcW w:w="9634" w:type="dxa"/>
          </w:tcPr>
          <w:p w14:paraId="7E127413" w14:textId="254D9A02" w:rsidR="00A21B39" w:rsidRDefault="001A2566" w:rsidP="00A21B39">
            <w:pPr>
              <w:jc w:val="both"/>
            </w:pPr>
            <w:r w:rsidRPr="00314349">
              <w:rPr>
                <w:bCs/>
              </w:rPr>
              <w:t xml:space="preserve">Bölüm </w:t>
            </w:r>
            <w:r w:rsidR="006A572E">
              <w:rPr>
                <w:bCs/>
              </w:rPr>
              <w:t>İntibak</w:t>
            </w:r>
            <w:r w:rsidRPr="00314349">
              <w:rPr>
                <w:bCs/>
              </w:rPr>
              <w:t xml:space="preserve"> Komisyonu, toplam 3 (üç) üyeden az olmamak üzere Bölüm Başkanı tarafından oluşturulur</w:t>
            </w:r>
            <w:r>
              <w:rPr>
                <w:bCs/>
              </w:rPr>
              <w:t>. Komisyonun görevi</w:t>
            </w:r>
            <w:r>
              <w:t xml:space="preserve"> </w:t>
            </w:r>
            <w:r w:rsidR="00DE4EE0">
              <w:t>bölüme yatay</w:t>
            </w:r>
            <w:r w:rsidR="00A21B39">
              <w:t xml:space="preserve"> geçişle, </w:t>
            </w:r>
            <w:r w:rsidR="00DE4EE0">
              <w:t>dik</w:t>
            </w:r>
            <w:r w:rsidR="00A21B39">
              <w:t>e</w:t>
            </w:r>
            <w:r w:rsidR="00DE4EE0">
              <w:t>y geçişle</w:t>
            </w:r>
            <w:r w:rsidR="00A21B39">
              <w:t>, aftan yararlanarak ve daha önce herhangi bir yükseköğretim kurumunun öğrencisi veya mezunu iken bölüme yeniden kayıt yaptıran öğrencilerin yükseköğretim kurumunda alıp başardığı derslerin muafiyet işlemleri ve yarıyıl/yıl intibaklarının yapılmasını sağlamaktır.</w:t>
            </w:r>
          </w:p>
          <w:p w14:paraId="35E6C561" w14:textId="6467387B" w:rsidR="00010AA3" w:rsidRPr="009B011C" w:rsidRDefault="00A21B39" w:rsidP="009B011C">
            <w:pPr>
              <w:jc w:val="both"/>
            </w:pPr>
            <w:r>
              <w:t xml:space="preserve"> </w:t>
            </w:r>
          </w:p>
        </w:tc>
      </w:tr>
      <w:tr w:rsidR="005D73CA" w:rsidRPr="0012131F" w14:paraId="33E1D3FA" w14:textId="77777777" w:rsidTr="00010AA3">
        <w:tc>
          <w:tcPr>
            <w:tcW w:w="9634" w:type="dxa"/>
            <w:shd w:val="clear" w:color="auto" w:fill="F2F2F2" w:themeFill="background1" w:themeFillShade="F2"/>
          </w:tcPr>
          <w:p w14:paraId="39A96DB0" w14:textId="77777777" w:rsidR="005D73CA" w:rsidRPr="0012131F" w:rsidRDefault="005D73CA" w:rsidP="00782E5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Görev, Yetki ve Sorumluluklar</w:t>
            </w:r>
            <w:r>
              <w:rPr>
                <w:rFonts w:ascii="Cambria" w:hAnsi="Cambria"/>
                <w:b/>
                <w:color w:val="002060"/>
              </w:rPr>
              <w:t>ı</w:t>
            </w:r>
          </w:p>
        </w:tc>
      </w:tr>
      <w:tr w:rsidR="005D73CA" w:rsidRPr="0012131F" w14:paraId="56E3992E" w14:textId="77777777" w:rsidTr="00010AA3">
        <w:tc>
          <w:tcPr>
            <w:tcW w:w="9634" w:type="dxa"/>
            <w:shd w:val="clear" w:color="auto" w:fill="FFFFFF" w:themeFill="background1"/>
          </w:tcPr>
          <w:p w14:paraId="798DEBE4" w14:textId="77777777" w:rsidR="005D73CA" w:rsidRPr="00DA294C" w:rsidRDefault="005D73CA" w:rsidP="00111766">
            <w:pPr>
              <w:pStyle w:val="AralkYok"/>
              <w:spacing w:line="360" w:lineRule="auto"/>
              <w:jc w:val="both"/>
            </w:pPr>
          </w:p>
          <w:p w14:paraId="1750DBAD" w14:textId="68E0136A" w:rsidR="00111766" w:rsidRPr="00111766" w:rsidRDefault="00DE4EE0" w:rsidP="00FC62BD">
            <w:pPr>
              <w:pStyle w:val="NormalWeb"/>
              <w:numPr>
                <w:ilvl w:val="0"/>
                <w:numId w:val="2"/>
              </w:numPr>
              <w:spacing w:line="360" w:lineRule="auto"/>
              <w:jc w:val="both"/>
              <w:rPr>
                <w:rFonts w:ascii="SymbolMT" w:hAnsi="SymbolMT"/>
              </w:rPr>
            </w:pPr>
            <w:r>
              <w:rPr>
                <w:rFonts w:ascii="SymbolMT" w:hAnsi="SymbolMT"/>
              </w:rPr>
              <w:t xml:space="preserve">Yüksek Öğretim kanunun ilgili mevzuatı ve </w:t>
            </w:r>
            <w:r w:rsidR="00111766">
              <w:rPr>
                <w:rFonts w:ascii="SymbolMT" w:hAnsi="SymbolMT"/>
              </w:rPr>
              <w:t xml:space="preserve">Üniversite Senatosu tarafından belirlenen </w:t>
            </w:r>
            <w:r>
              <w:rPr>
                <w:rFonts w:ascii="SymbolMT" w:hAnsi="SymbolMT"/>
              </w:rPr>
              <w:t>“</w:t>
            </w:r>
            <w:r w:rsidR="00A21B39">
              <w:rPr>
                <w:rFonts w:ascii="SymbolMT" w:hAnsi="SymbolMT"/>
              </w:rPr>
              <w:t>D</w:t>
            </w:r>
            <w:r>
              <w:rPr>
                <w:rFonts w:ascii="SymbolMT" w:hAnsi="SymbolMT"/>
              </w:rPr>
              <w:t xml:space="preserve">ers </w:t>
            </w:r>
            <w:r w:rsidR="00A21B39">
              <w:rPr>
                <w:rFonts w:ascii="SymbolMT" w:hAnsi="SymbolMT"/>
              </w:rPr>
              <w:t>E</w:t>
            </w:r>
            <w:r>
              <w:rPr>
                <w:rFonts w:ascii="SymbolMT" w:hAnsi="SymbolMT"/>
              </w:rPr>
              <w:t xml:space="preserve">şdeğerlik ve </w:t>
            </w:r>
            <w:r w:rsidR="00A21B39">
              <w:rPr>
                <w:rFonts w:ascii="SymbolMT" w:hAnsi="SymbolMT"/>
              </w:rPr>
              <w:t>İ</w:t>
            </w:r>
            <w:r>
              <w:rPr>
                <w:rFonts w:ascii="SymbolMT" w:hAnsi="SymbolMT"/>
              </w:rPr>
              <w:t xml:space="preserve">ntibak” </w:t>
            </w:r>
            <w:r w:rsidR="00111766">
              <w:rPr>
                <w:rFonts w:ascii="SymbolMT" w:hAnsi="SymbolMT"/>
              </w:rPr>
              <w:t>uygulama esasları doğrultusunda çalışmalar yapmak,</w:t>
            </w:r>
          </w:p>
          <w:p w14:paraId="11A5D0F4" w14:textId="498404F6" w:rsidR="002B130C" w:rsidRDefault="00592F4B" w:rsidP="00FC62BD">
            <w:pPr>
              <w:pStyle w:val="NormalWeb"/>
              <w:numPr>
                <w:ilvl w:val="0"/>
                <w:numId w:val="2"/>
              </w:numPr>
              <w:spacing w:line="360" w:lineRule="auto"/>
              <w:jc w:val="both"/>
              <w:rPr>
                <w:rFonts w:ascii="SymbolMT" w:hAnsi="SymbolMT"/>
              </w:rPr>
            </w:pPr>
            <w:r w:rsidRPr="00111766">
              <w:rPr>
                <w:rFonts w:ascii="SymbolMT" w:hAnsi="SymbolMT"/>
              </w:rPr>
              <w:t>Bölüm</w:t>
            </w:r>
            <w:r w:rsidR="00DE4EE0">
              <w:rPr>
                <w:rFonts w:ascii="SymbolMT" w:hAnsi="SymbolMT"/>
              </w:rPr>
              <w:t>e yatay</w:t>
            </w:r>
            <w:r w:rsidR="00514EBA">
              <w:rPr>
                <w:rFonts w:ascii="SymbolMT" w:hAnsi="SymbolMT"/>
              </w:rPr>
              <w:t>-</w:t>
            </w:r>
            <w:r w:rsidR="00DE4EE0">
              <w:rPr>
                <w:rFonts w:ascii="SymbolMT" w:hAnsi="SymbolMT"/>
              </w:rPr>
              <w:t>dikey</w:t>
            </w:r>
            <w:r w:rsidR="00514EBA">
              <w:rPr>
                <w:rFonts w:ascii="SymbolMT" w:hAnsi="SymbolMT"/>
              </w:rPr>
              <w:t xml:space="preserve"> </w:t>
            </w:r>
            <w:r w:rsidR="00DE4EE0">
              <w:rPr>
                <w:rFonts w:ascii="SymbolMT" w:hAnsi="SymbolMT"/>
              </w:rPr>
              <w:t xml:space="preserve">geçiş, </w:t>
            </w:r>
            <w:r w:rsidR="00514EBA">
              <w:rPr>
                <w:rFonts w:ascii="SymbolMT" w:hAnsi="SymbolMT"/>
              </w:rPr>
              <w:t>m</w:t>
            </w:r>
            <w:r w:rsidR="00DE4EE0">
              <w:rPr>
                <w:rFonts w:ascii="SymbolMT" w:hAnsi="SymbolMT"/>
              </w:rPr>
              <w:t>erkezi sınav</w:t>
            </w:r>
            <w:r w:rsidR="00514EBA">
              <w:rPr>
                <w:rFonts w:ascii="SymbolMT" w:hAnsi="SymbolMT"/>
              </w:rPr>
              <w:t xml:space="preserve"> </w:t>
            </w:r>
            <w:r w:rsidR="002B130C">
              <w:rPr>
                <w:rFonts w:ascii="SymbolMT" w:hAnsi="SymbolMT"/>
              </w:rPr>
              <w:t>veya</w:t>
            </w:r>
            <w:r w:rsidR="00514EBA">
              <w:rPr>
                <w:rFonts w:ascii="SymbolMT" w:hAnsi="SymbolMT"/>
              </w:rPr>
              <w:t xml:space="preserve"> afla gelen </w:t>
            </w:r>
            <w:proofErr w:type="spellStart"/>
            <w:r w:rsidR="00520693" w:rsidRPr="00111766">
              <w:rPr>
                <w:rFonts w:ascii="SymbolMT" w:hAnsi="SymbolMT"/>
              </w:rPr>
              <w:t>öğrencilerin</w:t>
            </w:r>
            <w:proofErr w:type="spellEnd"/>
            <w:r w:rsidR="00514EBA">
              <w:rPr>
                <w:rFonts w:ascii="SymbolMT" w:hAnsi="SymbolMT"/>
              </w:rPr>
              <w:t xml:space="preserve"> ders eşdeğerliği ve muafiyet </w:t>
            </w:r>
            <w:r w:rsidR="002B130C">
              <w:rPr>
                <w:rFonts w:ascii="SymbolMT" w:hAnsi="SymbolMT"/>
              </w:rPr>
              <w:t>taleplerini incelemek</w:t>
            </w:r>
            <w:r w:rsidR="003B46B3">
              <w:rPr>
                <w:rFonts w:ascii="SymbolMT" w:hAnsi="SymbolMT"/>
              </w:rPr>
              <w:t>,</w:t>
            </w:r>
          </w:p>
          <w:p w14:paraId="1F947865" w14:textId="27681DF3" w:rsidR="003B46B3" w:rsidRPr="003B46B3" w:rsidRDefault="002B130C" w:rsidP="00FC62BD">
            <w:pPr>
              <w:pStyle w:val="NormalWeb"/>
              <w:numPr>
                <w:ilvl w:val="0"/>
                <w:numId w:val="2"/>
              </w:numPr>
              <w:spacing w:line="360" w:lineRule="auto"/>
              <w:jc w:val="both"/>
              <w:rPr>
                <w:rFonts w:ascii="SymbolMT" w:hAnsi="SymbolMT"/>
              </w:rPr>
            </w:pPr>
            <w:r w:rsidRPr="008D43F4">
              <w:rPr>
                <w:sz w:val="24"/>
                <w:szCs w:val="24"/>
              </w:rPr>
              <w:t>Diğer yükseköğretim kurumundaki eşdeğer derslerin bölümümüzdeki karşılıklarını</w:t>
            </w:r>
            <w:r>
              <w:rPr>
                <w:sz w:val="24"/>
                <w:szCs w:val="24"/>
              </w:rPr>
              <w:t xml:space="preserve"> ilgili usul ve esaslar çerçevesinde </w:t>
            </w:r>
            <w:r w:rsidRPr="008D43F4">
              <w:rPr>
                <w:sz w:val="24"/>
                <w:szCs w:val="24"/>
              </w:rPr>
              <w:t>belirle</w:t>
            </w:r>
            <w:r>
              <w:rPr>
                <w:sz w:val="24"/>
                <w:szCs w:val="24"/>
              </w:rPr>
              <w:t>mek</w:t>
            </w:r>
            <w:r w:rsidR="003B46B3">
              <w:rPr>
                <w:sz w:val="24"/>
                <w:szCs w:val="24"/>
              </w:rPr>
              <w:t>,</w:t>
            </w:r>
            <w:r w:rsidRPr="008D43F4">
              <w:rPr>
                <w:sz w:val="24"/>
                <w:szCs w:val="24"/>
              </w:rPr>
              <w:t xml:space="preserve"> </w:t>
            </w:r>
          </w:p>
          <w:p w14:paraId="695907CE" w14:textId="0887BC6F" w:rsidR="002B130C" w:rsidRPr="002B130C" w:rsidRDefault="003B46B3" w:rsidP="00FC62BD">
            <w:pPr>
              <w:pStyle w:val="NormalWeb"/>
              <w:numPr>
                <w:ilvl w:val="0"/>
                <w:numId w:val="2"/>
              </w:numPr>
              <w:spacing w:line="360" w:lineRule="auto"/>
              <w:jc w:val="both"/>
              <w:rPr>
                <w:rFonts w:ascii="SymbolMT" w:hAnsi="SymbolMT"/>
              </w:rPr>
            </w:pPr>
            <w:r>
              <w:rPr>
                <w:sz w:val="24"/>
                <w:szCs w:val="24"/>
              </w:rPr>
              <w:t>İ</w:t>
            </w:r>
            <w:r w:rsidR="002B130C" w:rsidRPr="008D43F4">
              <w:rPr>
                <w:sz w:val="24"/>
                <w:szCs w:val="24"/>
              </w:rPr>
              <w:t>ntibakları uygun görülen</w:t>
            </w:r>
            <w:r>
              <w:rPr>
                <w:sz w:val="24"/>
                <w:szCs w:val="24"/>
              </w:rPr>
              <w:t xml:space="preserve"> derslerin</w:t>
            </w:r>
            <w:r w:rsidR="002B130C" w:rsidRPr="008D43F4">
              <w:rPr>
                <w:sz w:val="24"/>
                <w:szCs w:val="24"/>
              </w:rPr>
              <w:t xml:space="preserve"> not dönüşümlerini yap</w:t>
            </w:r>
            <w:r w:rsidR="002B130C">
              <w:rPr>
                <w:sz w:val="24"/>
                <w:szCs w:val="24"/>
              </w:rPr>
              <w:t>mak</w:t>
            </w:r>
            <w:r>
              <w:rPr>
                <w:sz w:val="24"/>
                <w:szCs w:val="24"/>
              </w:rPr>
              <w:t>,</w:t>
            </w:r>
          </w:p>
          <w:p w14:paraId="22670A24" w14:textId="08BB6400" w:rsidR="002B130C" w:rsidRPr="002B130C" w:rsidRDefault="002B130C" w:rsidP="00FC62BD">
            <w:pPr>
              <w:pStyle w:val="NormalWeb"/>
              <w:numPr>
                <w:ilvl w:val="0"/>
                <w:numId w:val="2"/>
              </w:numPr>
              <w:spacing w:line="360" w:lineRule="auto"/>
              <w:jc w:val="both"/>
              <w:rPr>
                <w:rFonts w:ascii="SymbolMT" w:hAnsi="SymbolMT"/>
              </w:rPr>
            </w:pPr>
            <w:r>
              <w:rPr>
                <w:rFonts w:ascii="SymbolMT" w:hAnsi="SymbolMT"/>
              </w:rPr>
              <w:t>Programa intibakı yapılan öğrenciler için “Ders Eşdeğerlik Formu” düzenlemek</w:t>
            </w:r>
            <w:r w:rsidR="003B46B3">
              <w:rPr>
                <w:rFonts w:ascii="SymbolMT" w:hAnsi="SymbolMT"/>
              </w:rPr>
              <w:t>,</w:t>
            </w:r>
          </w:p>
          <w:p w14:paraId="0D51A6B7" w14:textId="1F94F499" w:rsidR="00111766" w:rsidRDefault="00111766" w:rsidP="00FC62BD">
            <w:pPr>
              <w:pStyle w:val="NormalWeb"/>
              <w:numPr>
                <w:ilvl w:val="0"/>
                <w:numId w:val="2"/>
              </w:numPr>
              <w:spacing w:line="360" w:lineRule="auto"/>
              <w:jc w:val="both"/>
              <w:rPr>
                <w:rFonts w:ascii="SymbolMT" w:hAnsi="SymbolMT"/>
              </w:rPr>
            </w:pPr>
            <w:r w:rsidRPr="00111766">
              <w:rPr>
                <w:rFonts w:ascii="SymbolMT" w:hAnsi="SymbolMT"/>
              </w:rPr>
              <w:t xml:space="preserve">Kanun ve </w:t>
            </w:r>
            <w:proofErr w:type="spellStart"/>
            <w:r w:rsidRPr="00111766">
              <w:rPr>
                <w:rFonts w:ascii="SymbolMT" w:hAnsi="SymbolMT"/>
              </w:rPr>
              <w:t>yönetmeliklerle</w:t>
            </w:r>
            <w:proofErr w:type="spellEnd"/>
            <w:r w:rsidRPr="00111766">
              <w:rPr>
                <w:rFonts w:ascii="SymbolMT" w:hAnsi="SymbolMT"/>
              </w:rPr>
              <w:t xml:space="preserve"> verilen </w:t>
            </w:r>
            <w:proofErr w:type="spellStart"/>
            <w:r w:rsidRPr="00111766">
              <w:rPr>
                <w:rFonts w:ascii="SymbolMT" w:hAnsi="SymbolMT"/>
              </w:rPr>
              <w:t>diğer</w:t>
            </w:r>
            <w:proofErr w:type="spellEnd"/>
            <w:r w:rsidRPr="00111766">
              <w:rPr>
                <w:rFonts w:ascii="SymbolMT" w:hAnsi="SymbolMT"/>
              </w:rPr>
              <w:t xml:space="preserve"> </w:t>
            </w:r>
            <w:proofErr w:type="spellStart"/>
            <w:r w:rsidRPr="00111766">
              <w:rPr>
                <w:rFonts w:ascii="SymbolMT" w:hAnsi="SymbolMT"/>
              </w:rPr>
              <w:t>görevleri</w:t>
            </w:r>
            <w:proofErr w:type="spellEnd"/>
            <w:r w:rsidRPr="00111766">
              <w:rPr>
                <w:rFonts w:ascii="SymbolMT" w:hAnsi="SymbolMT"/>
              </w:rPr>
              <w:t xml:space="preserve"> yapmak</w:t>
            </w:r>
            <w:r w:rsidR="00C1355A">
              <w:rPr>
                <w:rFonts w:ascii="SymbolMT" w:hAnsi="SymbolMT"/>
              </w:rPr>
              <w:t>,</w:t>
            </w:r>
          </w:p>
          <w:p w14:paraId="1714787D" w14:textId="115FDDBA" w:rsidR="00111766" w:rsidRPr="00111766" w:rsidRDefault="00111766" w:rsidP="00FC62BD">
            <w:pPr>
              <w:pStyle w:val="NormalWeb"/>
              <w:numPr>
                <w:ilvl w:val="0"/>
                <w:numId w:val="2"/>
              </w:numPr>
              <w:spacing w:line="360" w:lineRule="auto"/>
              <w:jc w:val="both"/>
              <w:rPr>
                <w:rFonts w:ascii="SymbolMT" w:hAnsi="SymbolMT"/>
              </w:rPr>
            </w:pPr>
            <w:r w:rsidRPr="00111766">
              <w:rPr>
                <w:rFonts w:ascii="SymbolMT" w:hAnsi="SymbolMT"/>
              </w:rPr>
              <w:t>Yukarıda belirtilen görevlerin yerine getirilmesinde Bölüm Başkanı’na karşı sorumludur</w:t>
            </w:r>
            <w:r w:rsidR="00C1355A">
              <w:t>,</w:t>
            </w:r>
          </w:p>
          <w:p w14:paraId="15E6EB75" w14:textId="4481D602" w:rsidR="00AD023F" w:rsidRPr="00FC62BD" w:rsidRDefault="00FC62BD" w:rsidP="00FC62BD">
            <w:pPr>
              <w:pStyle w:val="NormalWeb"/>
              <w:numPr>
                <w:ilvl w:val="0"/>
                <w:numId w:val="2"/>
              </w:numPr>
              <w:spacing w:line="360" w:lineRule="auto"/>
              <w:jc w:val="both"/>
              <w:rPr>
                <w:rFonts w:ascii="SymbolMT" w:hAnsi="SymbolMT"/>
              </w:rPr>
            </w:pPr>
            <w:proofErr w:type="spellStart"/>
            <w:r w:rsidRPr="00FC62BD">
              <w:rPr>
                <w:rFonts w:ascii="SymbolMT" w:hAnsi="SymbolMT"/>
              </w:rPr>
              <w:t>Bölüm</w:t>
            </w:r>
            <w:proofErr w:type="spellEnd"/>
            <w:r w:rsidRPr="00FC62BD">
              <w:rPr>
                <w:rFonts w:ascii="SymbolMT" w:hAnsi="SymbolMT"/>
              </w:rPr>
              <w:t xml:space="preserve"> </w:t>
            </w:r>
            <w:r w:rsidR="002B130C">
              <w:rPr>
                <w:rFonts w:ascii="SymbolMT" w:hAnsi="SymbolMT"/>
              </w:rPr>
              <w:t>İntibak</w:t>
            </w:r>
            <w:r w:rsidRPr="00FC62BD">
              <w:rPr>
                <w:rFonts w:ascii="SymbolMT" w:hAnsi="SymbolMT"/>
              </w:rPr>
              <w:t xml:space="preserve"> Komisyon </w:t>
            </w:r>
            <w:proofErr w:type="spellStart"/>
            <w:r w:rsidRPr="00FC62BD">
              <w:rPr>
                <w:rFonts w:ascii="SymbolMT" w:hAnsi="SymbolMT"/>
              </w:rPr>
              <w:t>üyesinin</w:t>
            </w:r>
            <w:proofErr w:type="spellEnd"/>
            <w:r w:rsidRPr="00FC62BD">
              <w:rPr>
                <w:rFonts w:ascii="SymbolMT" w:hAnsi="SymbolMT"/>
              </w:rPr>
              <w:t xml:space="preserve"> </w:t>
            </w:r>
            <w:proofErr w:type="spellStart"/>
            <w:r w:rsidRPr="00FC62BD">
              <w:rPr>
                <w:rFonts w:ascii="SymbolMT" w:hAnsi="SymbolMT"/>
              </w:rPr>
              <w:t>görev</w:t>
            </w:r>
            <w:proofErr w:type="spellEnd"/>
            <w:r w:rsidRPr="00FC62BD">
              <w:rPr>
                <w:rFonts w:ascii="SymbolMT" w:hAnsi="SymbolMT"/>
              </w:rPr>
              <w:t xml:space="preserve"> süresi, yeniden </w:t>
            </w:r>
            <w:proofErr w:type="spellStart"/>
            <w:r w:rsidRPr="00FC62BD">
              <w:rPr>
                <w:rFonts w:ascii="SymbolMT" w:hAnsi="SymbolMT"/>
              </w:rPr>
              <w:t>düzenleme</w:t>
            </w:r>
            <w:proofErr w:type="spellEnd"/>
            <w:r w:rsidRPr="00FC62BD">
              <w:rPr>
                <w:rFonts w:ascii="SymbolMT" w:hAnsi="SymbolMT"/>
              </w:rPr>
              <w:t xml:space="preserve"> yapılıncaya kadar devam eder. </w:t>
            </w:r>
            <w:proofErr w:type="spellStart"/>
            <w:r w:rsidRPr="00FC62BD">
              <w:rPr>
                <w:rFonts w:ascii="SymbolMT" w:hAnsi="SymbolMT"/>
              </w:rPr>
              <w:t>Öğretim</w:t>
            </w:r>
            <w:proofErr w:type="spellEnd"/>
            <w:r w:rsidRPr="00FC62BD">
              <w:rPr>
                <w:rFonts w:ascii="SymbolMT" w:hAnsi="SymbolMT"/>
              </w:rPr>
              <w:t xml:space="preserve"> elamanın komisyon </w:t>
            </w:r>
            <w:proofErr w:type="spellStart"/>
            <w:r w:rsidRPr="00FC62BD">
              <w:rPr>
                <w:rFonts w:ascii="SymbolMT" w:hAnsi="SymbolMT"/>
              </w:rPr>
              <w:t>üyeliğinden</w:t>
            </w:r>
            <w:proofErr w:type="spellEnd"/>
            <w:r w:rsidRPr="00FC62BD">
              <w:rPr>
                <w:rFonts w:ascii="SymbolMT" w:hAnsi="SymbolMT"/>
              </w:rPr>
              <w:t xml:space="preserve"> istifa etmesi halinde, </w:t>
            </w:r>
            <w:proofErr w:type="spellStart"/>
            <w:r w:rsidRPr="00FC62BD">
              <w:rPr>
                <w:rFonts w:ascii="SymbolMT" w:hAnsi="SymbolMT"/>
              </w:rPr>
              <w:t>Bölüm</w:t>
            </w:r>
            <w:proofErr w:type="spellEnd"/>
            <w:r w:rsidRPr="00FC62BD">
              <w:rPr>
                <w:rFonts w:ascii="SymbolMT" w:hAnsi="SymbolMT"/>
              </w:rPr>
              <w:t xml:space="preserve"> Başkanı tarafından yenisi atanır.</w:t>
            </w:r>
          </w:p>
        </w:tc>
      </w:tr>
    </w:tbl>
    <w:p w14:paraId="6A441E4C" w14:textId="1231E78A" w:rsidR="004A28CB" w:rsidRDefault="004A28CB" w:rsidP="00111766">
      <w:pPr>
        <w:spacing w:line="360" w:lineRule="auto"/>
        <w:jc w:val="both"/>
      </w:pPr>
    </w:p>
    <w:p w14:paraId="43EF2B70" w14:textId="77777777" w:rsidR="00B949E8" w:rsidRDefault="00B949E8"/>
    <w:sectPr w:rsidR="00B949E8" w:rsidSect="00DD7C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2B2D19A7"/>
    <w:multiLevelType w:val="multilevel"/>
    <w:tmpl w:val="AED8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17E4C"/>
    <w:multiLevelType w:val="hybridMultilevel"/>
    <w:tmpl w:val="E3863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1114F"/>
    <w:multiLevelType w:val="multilevel"/>
    <w:tmpl w:val="8E66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440AEF"/>
    <w:multiLevelType w:val="multilevel"/>
    <w:tmpl w:val="6080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FD784E"/>
    <w:multiLevelType w:val="multilevel"/>
    <w:tmpl w:val="49CC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DF2E2D"/>
    <w:multiLevelType w:val="multilevel"/>
    <w:tmpl w:val="81B2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2A2E0C"/>
    <w:multiLevelType w:val="hybridMultilevel"/>
    <w:tmpl w:val="76762AE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BF0AC3"/>
    <w:multiLevelType w:val="multilevel"/>
    <w:tmpl w:val="0290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7912682">
    <w:abstractNumId w:val="2"/>
  </w:num>
  <w:num w:numId="2" w16cid:durableId="175314475">
    <w:abstractNumId w:val="8"/>
  </w:num>
  <w:num w:numId="3" w16cid:durableId="67461278">
    <w:abstractNumId w:val="1"/>
  </w:num>
  <w:num w:numId="4" w16cid:durableId="1906990614">
    <w:abstractNumId w:val="5"/>
  </w:num>
  <w:num w:numId="5" w16cid:durableId="55668241">
    <w:abstractNumId w:val="0"/>
  </w:num>
  <w:num w:numId="6" w16cid:durableId="282657803">
    <w:abstractNumId w:val="7"/>
  </w:num>
  <w:num w:numId="7" w16cid:durableId="1628008416">
    <w:abstractNumId w:val="6"/>
  </w:num>
  <w:num w:numId="8" w16cid:durableId="92014257">
    <w:abstractNumId w:val="4"/>
  </w:num>
  <w:num w:numId="9" w16cid:durableId="577449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CA"/>
    <w:rsid w:val="00010AA3"/>
    <w:rsid w:val="000A38F6"/>
    <w:rsid w:val="000F0A19"/>
    <w:rsid w:val="00111766"/>
    <w:rsid w:val="00160DA3"/>
    <w:rsid w:val="001A2566"/>
    <w:rsid w:val="00230618"/>
    <w:rsid w:val="002317F7"/>
    <w:rsid w:val="00242D70"/>
    <w:rsid w:val="002B130C"/>
    <w:rsid w:val="002E1DAE"/>
    <w:rsid w:val="00325967"/>
    <w:rsid w:val="00390FE8"/>
    <w:rsid w:val="003B46B3"/>
    <w:rsid w:val="00406832"/>
    <w:rsid w:val="004A28CB"/>
    <w:rsid w:val="004C12C8"/>
    <w:rsid w:val="004E2480"/>
    <w:rsid w:val="00514EBA"/>
    <w:rsid w:val="00520693"/>
    <w:rsid w:val="00525644"/>
    <w:rsid w:val="00592F4B"/>
    <w:rsid w:val="005D73CA"/>
    <w:rsid w:val="00605C7C"/>
    <w:rsid w:val="006A4EB4"/>
    <w:rsid w:val="006A572E"/>
    <w:rsid w:val="006C2E4B"/>
    <w:rsid w:val="006C6098"/>
    <w:rsid w:val="006D1A00"/>
    <w:rsid w:val="006E2AF2"/>
    <w:rsid w:val="007060A4"/>
    <w:rsid w:val="0088027B"/>
    <w:rsid w:val="009B011C"/>
    <w:rsid w:val="009B19B1"/>
    <w:rsid w:val="009C0D52"/>
    <w:rsid w:val="00A21B39"/>
    <w:rsid w:val="00A42AE5"/>
    <w:rsid w:val="00AD023F"/>
    <w:rsid w:val="00AF6785"/>
    <w:rsid w:val="00B949E8"/>
    <w:rsid w:val="00BD1253"/>
    <w:rsid w:val="00C1355A"/>
    <w:rsid w:val="00D25EC8"/>
    <w:rsid w:val="00D42C3C"/>
    <w:rsid w:val="00D854CD"/>
    <w:rsid w:val="00DD7CB0"/>
    <w:rsid w:val="00DE4EE0"/>
    <w:rsid w:val="00EF335F"/>
    <w:rsid w:val="00F15340"/>
    <w:rsid w:val="00F360FE"/>
    <w:rsid w:val="00FC62BD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9C1A"/>
  <w15:chartTrackingRefBased/>
  <w15:docId w15:val="{E9DE99A7-B012-EB4B-AF29-97FFEA48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3CA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5D73CA"/>
    <w:rPr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5D73CA"/>
    <w:rPr>
      <w:sz w:val="22"/>
      <w:szCs w:val="22"/>
    </w:rPr>
  </w:style>
  <w:style w:type="table" w:styleId="TabloKlavuzuAk">
    <w:name w:val="Grid Table Light"/>
    <w:basedOn w:val="NormalTablo"/>
    <w:uiPriority w:val="40"/>
    <w:rsid w:val="005D73CA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525644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5206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5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6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1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0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2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6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8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umitsirin@gmail.com</dc:creator>
  <cp:keywords/>
  <dc:description/>
  <cp:lastModifiedBy>Ferhan Korkmaz</cp:lastModifiedBy>
  <cp:revision>10</cp:revision>
  <dcterms:created xsi:type="dcterms:W3CDTF">2022-11-21T09:59:00Z</dcterms:created>
  <dcterms:modified xsi:type="dcterms:W3CDTF">2022-11-21T12:10:00Z</dcterms:modified>
</cp:coreProperties>
</file>